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C6CD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A6E72" wp14:editId="099BD51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435815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793A000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3B08CED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1B262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796140D9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E072C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91627D6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02F22C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A6B4201" w14:textId="1628EEA2" w:rsidR="00C37B3D" w:rsidRPr="00803CC4" w:rsidRDefault="004659B8" w:rsidP="00060ECE">
            <w:pPr>
              <w:widowControl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Nacrt Poslovnika Općinskog vijeća </w:t>
            </w:r>
            <w:proofErr w:type="spellStart"/>
            <w:r w:rsidR="008A11F8" w:rsidRPr="008A11F8">
              <w:rPr>
                <w:rFonts w:ascii="Times New Roman" w:hAnsi="Times New Roman"/>
                <w:color w:val="000000" w:themeColor="text1"/>
              </w:rPr>
              <w:t>Općine</w:t>
            </w:r>
            <w:proofErr w:type="spellEnd"/>
            <w:r w:rsidR="008A11F8" w:rsidRPr="008A11F8">
              <w:rPr>
                <w:rFonts w:ascii="Times New Roman" w:hAnsi="Times New Roman"/>
                <w:color w:val="000000" w:themeColor="text1"/>
              </w:rPr>
              <w:t xml:space="preserve"> Šandrovac</w:t>
            </w:r>
          </w:p>
          <w:p w14:paraId="1FCFE8F9" w14:textId="77777777"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14:paraId="06294C50" w14:textId="77777777" w:rsidR="001D7128" w:rsidRPr="00803CC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44226A68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01AFFB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2C9006F" w14:textId="77777777" w:rsidR="001D7128" w:rsidRPr="00701A55" w:rsidRDefault="00701A55" w:rsidP="00060ECE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701A55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</w:tc>
      </w:tr>
      <w:tr w:rsidR="001D7128" w:rsidRPr="00AF30D5" w14:paraId="5CD2385D" w14:textId="77777777" w:rsidTr="006854FF">
        <w:trPr>
          <w:trHeight w:hRule="exact" w:val="309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758E794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8B903C4" w14:textId="6B9AD45A" w:rsidR="001D7128" w:rsidRPr="00F23714" w:rsidRDefault="004659B8" w:rsidP="00060ECE">
            <w:pPr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 w:rsidRPr="00060ECE">
              <w:rPr>
                <w:rFonts w:ascii="Times New Roman" w:eastAsia="Myriad Pro" w:hAnsi="Times New Roman" w:cs="Times New Roman"/>
                <w:lang w:val="hr-HR"/>
              </w:rPr>
              <w:t>Usklada</w:t>
            </w:r>
            <w:proofErr w:type="spellEnd"/>
            <w:r w:rsidRPr="00060ECE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Myriad Pro" w:hAnsi="Times New Roman" w:cs="Times New Roman"/>
                <w:lang w:val="hr-HR"/>
              </w:rPr>
              <w:t xml:space="preserve">Poslovnika Općinskog vijeća </w:t>
            </w:r>
            <w:r w:rsidRPr="00060ECE">
              <w:rPr>
                <w:rFonts w:ascii="Times New Roman" w:eastAsia="Myriad Pro" w:hAnsi="Times New Roman" w:cs="Times New Roman"/>
                <w:lang w:val="hr-HR"/>
              </w:rPr>
              <w:t xml:space="preserve">Općine Šandrovac sa odredbama </w:t>
            </w:r>
            <w:proofErr w:type="spellStart"/>
            <w:r w:rsidRPr="00060ECE">
              <w:rPr>
                <w:rFonts w:ascii="Times New Roman" w:hAnsi="Times New Roman" w:cs="Times New Roman"/>
              </w:rPr>
              <w:t>Zakona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060ECE">
              <w:rPr>
                <w:rFonts w:ascii="Times New Roman" w:hAnsi="Times New Roman" w:cs="Times New Roman"/>
              </w:rPr>
              <w:t>izmjenama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060ECE">
              <w:rPr>
                <w:rFonts w:ascii="Times New Roman" w:hAnsi="Times New Roman" w:cs="Times New Roman"/>
              </w:rPr>
              <w:t>dopunama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Zakona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060ECE">
              <w:rPr>
                <w:rFonts w:ascii="Times New Roman" w:hAnsi="Times New Roman" w:cs="Times New Roman"/>
              </w:rPr>
              <w:t>lokalnoj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060ECE">
              <w:rPr>
                <w:rFonts w:ascii="Times New Roman" w:hAnsi="Times New Roman" w:cs="Times New Roman"/>
              </w:rPr>
              <w:t>područnoj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60ECE">
              <w:rPr>
                <w:rFonts w:ascii="Times New Roman" w:hAnsi="Times New Roman" w:cs="Times New Roman"/>
              </w:rPr>
              <w:t>regionalnoj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060ECE">
              <w:rPr>
                <w:rFonts w:ascii="Times New Roman" w:hAnsi="Times New Roman" w:cs="Times New Roman"/>
              </w:rPr>
              <w:t>samoupravi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koji je </w:t>
            </w:r>
            <w:proofErr w:type="spellStart"/>
            <w:r w:rsidRPr="00060ECE">
              <w:rPr>
                <w:rFonts w:ascii="Times New Roman" w:hAnsi="Times New Roman" w:cs="Times New Roman"/>
              </w:rPr>
              <w:t>objavljen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u ''</w:t>
            </w:r>
            <w:proofErr w:type="spellStart"/>
            <w:r w:rsidRPr="00060ECE">
              <w:rPr>
                <w:rFonts w:ascii="Times New Roman" w:hAnsi="Times New Roman" w:cs="Times New Roman"/>
              </w:rPr>
              <w:t>Narodnim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novinama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'', </w:t>
            </w:r>
            <w:proofErr w:type="spellStart"/>
            <w:r w:rsidRPr="00060ECE">
              <w:rPr>
                <w:rFonts w:ascii="Times New Roman" w:hAnsi="Times New Roman" w:cs="Times New Roman"/>
              </w:rPr>
              <w:t>broj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144/2020, a </w:t>
            </w:r>
            <w:proofErr w:type="spellStart"/>
            <w:r w:rsidRPr="00060ECE">
              <w:rPr>
                <w:rFonts w:ascii="Times New Roman" w:hAnsi="Times New Roman" w:cs="Times New Roman"/>
              </w:rPr>
              <w:t>stupio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na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snagu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24. </w:t>
            </w:r>
            <w:proofErr w:type="spellStart"/>
            <w:r w:rsidRPr="00060ECE">
              <w:rPr>
                <w:rFonts w:ascii="Times New Roman" w:hAnsi="Times New Roman" w:cs="Times New Roman"/>
              </w:rPr>
              <w:t>prosinca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2020. (u </w:t>
            </w:r>
            <w:proofErr w:type="spellStart"/>
            <w:r w:rsidRPr="00060ECE">
              <w:rPr>
                <w:rFonts w:ascii="Times New Roman" w:hAnsi="Times New Roman" w:cs="Times New Roman"/>
              </w:rPr>
              <w:t>daljnjem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tekstu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60ECE">
              <w:rPr>
                <w:rFonts w:ascii="Times New Roman" w:hAnsi="Times New Roman" w:cs="Times New Roman"/>
              </w:rPr>
              <w:t>Zakon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).  </w:t>
            </w:r>
            <w:proofErr w:type="spellStart"/>
            <w:r w:rsidRPr="00060ECE">
              <w:rPr>
                <w:rFonts w:ascii="Times New Roman" w:hAnsi="Times New Roman" w:cs="Times New Roman"/>
              </w:rPr>
              <w:t>Člankom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16. </w:t>
            </w:r>
            <w:proofErr w:type="spellStart"/>
            <w:r w:rsidRPr="00060ECE">
              <w:rPr>
                <w:rFonts w:ascii="Times New Roman" w:hAnsi="Times New Roman" w:cs="Times New Roman"/>
              </w:rPr>
              <w:t>navedenog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Zakona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propisana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060ECE">
              <w:rPr>
                <w:rFonts w:ascii="Times New Roman" w:hAnsi="Times New Roman" w:cs="Times New Roman"/>
              </w:rPr>
              <w:t>dužnost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jedinica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lokalne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060ECE">
              <w:rPr>
                <w:rFonts w:ascii="Times New Roman" w:hAnsi="Times New Roman" w:cs="Times New Roman"/>
              </w:rPr>
              <w:t>područne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60ECE">
              <w:rPr>
                <w:rFonts w:ascii="Times New Roman" w:hAnsi="Times New Roman" w:cs="Times New Roman"/>
              </w:rPr>
              <w:t>regionalne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060ECE">
              <w:rPr>
                <w:rFonts w:ascii="Times New Roman" w:hAnsi="Times New Roman" w:cs="Times New Roman"/>
              </w:rPr>
              <w:t>samouprave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da u </w:t>
            </w:r>
            <w:proofErr w:type="spellStart"/>
            <w:r w:rsidRPr="00060ECE">
              <w:rPr>
                <w:rFonts w:ascii="Times New Roman" w:hAnsi="Times New Roman" w:cs="Times New Roman"/>
              </w:rPr>
              <w:t>roku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od 60 dana od dana </w:t>
            </w:r>
            <w:proofErr w:type="spellStart"/>
            <w:r w:rsidRPr="00060ECE">
              <w:rPr>
                <w:rFonts w:ascii="Times New Roman" w:hAnsi="Times New Roman" w:cs="Times New Roman"/>
              </w:rPr>
              <w:t>stupanja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na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snagu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Zakona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usklade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svoje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statute i </w:t>
            </w:r>
            <w:proofErr w:type="spellStart"/>
            <w:r w:rsidRPr="00060ECE">
              <w:rPr>
                <w:rFonts w:ascii="Times New Roman" w:hAnsi="Times New Roman" w:cs="Times New Roman"/>
              </w:rPr>
              <w:t>druge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opće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akte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060ECE">
              <w:rPr>
                <w:rFonts w:ascii="Times New Roman" w:hAnsi="Times New Roman" w:cs="Times New Roman"/>
              </w:rPr>
              <w:t>odredbama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Zakona</w:t>
            </w:r>
            <w:proofErr w:type="spellEnd"/>
            <w:r w:rsidRPr="00060ECE">
              <w:rPr>
                <w:rFonts w:ascii="Times New Roman" w:hAnsi="Times New Roman" w:cs="Times New Roman"/>
              </w:rPr>
              <w:t>.</w:t>
            </w:r>
          </w:p>
        </w:tc>
      </w:tr>
      <w:tr w:rsidR="001D7128" w:rsidRPr="00C37B3D" w14:paraId="5FAF63BD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C9308A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57CF10" w14:textId="168DD60A" w:rsidR="001D7128" w:rsidRPr="00F23714" w:rsidRDefault="004659B8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>22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</w:t>
            </w:r>
            <w:r w:rsidR="006854FF">
              <w:rPr>
                <w:rFonts w:ascii="Times New Roman" w:eastAsia="Myriad Pro" w:hAnsi="Times New Roman" w:cs="Times New Roman"/>
                <w:lang w:val="hr-HR"/>
              </w:rPr>
              <w:t>0</w:t>
            </w:r>
            <w:r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F23714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060ECE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57FFBB3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923C13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13178CC2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097F9884" w14:textId="77777777"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7F0AAF9B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1099248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BE8BE5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4FB9D5D0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73D8F93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3654E59F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4C7D7B" w14:textId="0C2BE0B6"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4659B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22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4659B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03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3C76A742" w14:textId="3871CB1D"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060EC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 </w:t>
            </w:r>
          </w:p>
          <w:p w14:paraId="2EFB6512" w14:textId="77777777"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7D61320F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4CA7771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670D310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1F9C7BF" w14:textId="1971E17B"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.,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pročenica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JUO Općine Šandrovac, Bjelovarska 6, 43227 Šandrovac, tel. 043/874128, fax. 043/874366, email: opcina</w:t>
            </w:r>
            <w:r w:rsidR="004659B8">
              <w:rPr>
                <w:rFonts w:ascii="Times New Roman" w:eastAsia="Myriad Pro" w:hAnsi="Times New Roman" w:cs="Times New Roman"/>
                <w:color w:val="231F20"/>
                <w:lang w:val="hr-HR"/>
              </w:rPr>
              <w:t>@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sandrovac.hr</w:t>
            </w:r>
          </w:p>
        </w:tc>
      </w:tr>
      <w:tr w:rsidR="001D7128" w:rsidRPr="00C37B3D" w14:paraId="08FC36A3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5DDD37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496580D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C8D2C6" w14:textId="77777777"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14:paraId="094AC6D2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14BA09A8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401141AE" w14:textId="0037421B" w:rsidR="00490861" w:rsidRPr="00183AF8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LASA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: 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008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2C448E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4659B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</w:p>
          <w:p w14:paraId="71118D45" w14:textId="2193AFAD"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RBROJ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-2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-1</w:t>
            </w:r>
            <w:bookmarkEnd w:id="0"/>
          </w:p>
        </w:tc>
      </w:tr>
    </w:tbl>
    <w:p w14:paraId="560C5374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D636" w14:textId="77777777" w:rsidR="00274330" w:rsidRDefault="00274330" w:rsidP="001D7128">
      <w:pPr>
        <w:spacing w:after="0" w:line="240" w:lineRule="auto"/>
      </w:pPr>
      <w:r>
        <w:separator/>
      </w:r>
    </w:p>
  </w:endnote>
  <w:endnote w:type="continuationSeparator" w:id="0">
    <w:p w14:paraId="5CCA94F3" w14:textId="77777777" w:rsidR="00274330" w:rsidRDefault="00274330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612B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9AB57" wp14:editId="7B0EE2F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5768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A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05265768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FD66" w14:textId="77777777" w:rsidR="00274330" w:rsidRDefault="00274330" w:rsidP="001D7128">
      <w:pPr>
        <w:spacing w:after="0" w:line="240" w:lineRule="auto"/>
      </w:pPr>
      <w:r>
        <w:separator/>
      </w:r>
    </w:p>
  </w:footnote>
  <w:footnote w:type="continuationSeparator" w:id="0">
    <w:p w14:paraId="4A98E8E7" w14:textId="77777777" w:rsidR="00274330" w:rsidRDefault="00274330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0ECE"/>
    <w:rsid w:val="0006176E"/>
    <w:rsid w:val="00075BBA"/>
    <w:rsid w:val="000E7CDB"/>
    <w:rsid w:val="001017DF"/>
    <w:rsid w:val="00101B3F"/>
    <w:rsid w:val="001571D9"/>
    <w:rsid w:val="00183AF8"/>
    <w:rsid w:val="001D1A5C"/>
    <w:rsid w:val="001D7128"/>
    <w:rsid w:val="00267601"/>
    <w:rsid w:val="00274330"/>
    <w:rsid w:val="002C448E"/>
    <w:rsid w:val="0030353A"/>
    <w:rsid w:val="00307F8B"/>
    <w:rsid w:val="0032759F"/>
    <w:rsid w:val="0035681E"/>
    <w:rsid w:val="00367FD1"/>
    <w:rsid w:val="003F3C76"/>
    <w:rsid w:val="004659B8"/>
    <w:rsid w:val="00490861"/>
    <w:rsid w:val="004C0CC8"/>
    <w:rsid w:val="004E3693"/>
    <w:rsid w:val="004F3855"/>
    <w:rsid w:val="00560EED"/>
    <w:rsid w:val="005C6D95"/>
    <w:rsid w:val="005E5EEF"/>
    <w:rsid w:val="00603A85"/>
    <w:rsid w:val="00640787"/>
    <w:rsid w:val="006854FF"/>
    <w:rsid w:val="0069356D"/>
    <w:rsid w:val="006E0C67"/>
    <w:rsid w:val="00701A55"/>
    <w:rsid w:val="007E5697"/>
    <w:rsid w:val="00803CC4"/>
    <w:rsid w:val="008A11F8"/>
    <w:rsid w:val="008D5EC2"/>
    <w:rsid w:val="00902074"/>
    <w:rsid w:val="00920EF5"/>
    <w:rsid w:val="00990722"/>
    <w:rsid w:val="009A4023"/>
    <w:rsid w:val="009B37F7"/>
    <w:rsid w:val="00A214DF"/>
    <w:rsid w:val="00A608BE"/>
    <w:rsid w:val="00A72B31"/>
    <w:rsid w:val="00A85ACD"/>
    <w:rsid w:val="00A970AF"/>
    <w:rsid w:val="00AD16BF"/>
    <w:rsid w:val="00AD67D7"/>
    <w:rsid w:val="00AF30D5"/>
    <w:rsid w:val="00B066BC"/>
    <w:rsid w:val="00B13212"/>
    <w:rsid w:val="00B16F3B"/>
    <w:rsid w:val="00B22764"/>
    <w:rsid w:val="00B71000"/>
    <w:rsid w:val="00B773E5"/>
    <w:rsid w:val="00B82D97"/>
    <w:rsid w:val="00BC4869"/>
    <w:rsid w:val="00BE06F7"/>
    <w:rsid w:val="00C150A3"/>
    <w:rsid w:val="00C215C1"/>
    <w:rsid w:val="00C35B48"/>
    <w:rsid w:val="00C37B3D"/>
    <w:rsid w:val="00C460F4"/>
    <w:rsid w:val="00C63DC8"/>
    <w:rsid w:val="00CD68D3"/>
    <w:rsid w:val="00D14424"/>
    <w:rsid w:val="00D4083B"/>
    <w:rsid w:val="00D8338C"/>
    <w:rsid w:val="00DA1B4C"/>
    <w:rsid w:val="00DF4962"/>
    <w:rsid w:val="00DF568C"/>
    <w:rsid w:val="00E37246"/>
    <w:rsid w:val="00E63470"/>
    <w:rsid w:val="00EB567D"/>
    <w:rsid w:val="00F23714"/>
    <w:rsid w:val="00F647FA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BCC3F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6854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54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7</cp:revision>
  <cp:lastPrinted>2019-01-17T09:08:00Z</cp:lastPrinted>
  <dcterms:created xsi:type="dcterms:W3CDTF">2020-08-07T06:37:00Z</dcterms:created>
  <dcterms:modified xsi:type="dcterms:W3CDTF">2021-10-15T11:31:00Z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